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185"/>
        <w:tblW w:w="11206" w:type="dxa"/>
        <w:tblLook w:val="04A0" w:firstRow="1" w:lastRow="0" w:firstColumn="1" w:lastColumn="0" w:noHBand="0" w:noVBand="1"/>
      </w:tblPr>
      <w:tblGrid>
        <w:gridCol w:w="4692"/>
        <w:gridCol w:w="2254"/>
        <w:gridCol w:w="4254"/>
        <w:gridCol w:w="6"/>
      </w:tblGrid>
      <w:tr w:rsidR="00486D6E" w:rsidTr="006C662E">
        <w:trPr>
          <w:gridAfter w:val="1"/>
          <w:wAfter w:w="6" w:type="dxa"/>
          <w:trHeight w:val="1675"/>
        </w:trPr>
        <w:tc>
          <w:tcPr>
            <w:tcW w:w="4692" w:type="dxa"/>
            <w:vAlign w:val="center"/>
          </w:tcPr>
          <w:p w:rsidR="006C662E" w:rsidRDefault="006C662E" w:rsidP="00486D6E">
            <w:pPr>
              <w:pStyle w:val="En-tte"/>
              <w:jc w:val="center"/>
              <w:rPr>
                <w:rFonts w:ascii="Rockwell" w:hAnsi="Rockwell" w:cs="FrankRuehl"/>
                <w:b/>
                <w:bCs/>
                <w:color w:val="1F497D"/>
                <w:sz w:val="28"/>
                <w:szCs w:val="28"/>
                <w:lang w:bidi="ar-MA"/>
              </w:rPr>
            </w:pPr>
            <w:bookmarkStart w:id="0" w:name="_GoBack"/>
            <w:bookmarkEnd w:id="0"/>
          </w:p>
          <w:p w:rsidR="006C662E" w:rsidRDefault="006C662E" w:rsidP="00486D6E">
            <w:pPr>
              <w:pStyle w:val="En-tte"/>
              <w:jc w:val="center"/>
              <w:rPr>
                <w:rFonts w:ascii="Rockwell" w:hAnsi="Rockwell" w:cs="FrankRuehl"/>
                <w:b/>
                <w:bCs/>
                <w:color w:val="1F497D"/>
                <w:sz w:val="28"/>
                <w:szCs w:val="28"/>
                <w:lang w:bidi="ar-MA"/>
              </w:rPr>
            </w:pPr>
          </w:p>
          <w:p w:rsidR="00486D6E" w:rsidRPr="005C5692" w:rsidRDefault="006C662E" w:rsidP="00486D6E">
            <w:pPr>
              <w:pStyle w:val="En-tte"/>
              <w:jc w:val="center"/>
              <w:rPr>
                <w:rFonts w:ascii="Rockwell" w:hAnsi="Rockwell" w:cs="FrankRuehl"/>
                <w:b/>
                <w:bCs/>
                <w:color w:val="1F497D"/>
                <w:sz w:val="28"/>
                <w:szCs w:val="28"/>
                <w:lang w:bidi="ar-MA"/>
              </w:rPr>
            </w:pPr>
            <w:r>
              <w:rPr>
                <w:rFonts w:ascii="Rockwell" w:hAnsi="Rockwell" w:cs="FrankRuehl"/>
                <w:b/>
                <w:bCs/>
                <w:color w:val="1F497D"/>
                <w:sz w:val="28"/>
                <w:szCs w:val="28"/>
                <w:lang w:bidi="ar-MA"/>
              </w:rPr>
              <w:t>U</w:t>
            </w:r>
            <w:r w:rsidR="00486D6E" w:rsidRPr="005C5692">
              <w:rPr>
                <w:rFonts w:ascii="Rockwell" w:hAnsi="Rockwell" w:cs="FrankRuehl"/>
                <w:b/>
                <w:bCs/>
                <w:color w:val="1F497D"/>
                <w:sz w:val="28"/>
                <w:szCs w:val="28"/>
                <w:lang w:bidi="ar-MA"/>
              </w:rPr>
              <w:t>nion Marocaine Du Travail</w:t>
            </w:r>
          </w:p>
          <w:p w:rsidR="00486D6E" w:rsidRPr="005C5692" w:rsidRDefault="00486D6E" w:rsidP="00486D6E">
            <w:pPr>
              <w:pStyle w:val="En-tte"/>
              <w:jc w:val="center"/>
              <w:rPr>
                <w:b/>
                <w:bCs/>
                <w:color w:val="0070C0"/>
                <w:sz w:val="16"/>
                <w:szCs w:val="16"/>
                <w:lang w:bidi="ar-MA"/>
              </w:rPr>
            </w:pPr>
          </w:p>
          <w:p w:rsidR="00486D6E" w:rsidRPr="005C5692" w:rsidRDefault="00486D6E" w:rsidP="00486D6E">
            <w:pPr>
              <w:pStyle w:val="En-tte"/>
              <w:jc w:val="center"/>
              <w:rPr>
                <w:b/>
                <w:bCs/>
                <w:color w:val="0070C0"/>
                <w:sz w:val="16"/>
                <w:szCs w:val="16"/>
                <w:lang w:bidi="ar-MA"/>
              </w:rPr>
            </w:pPr>
          </w:p>
          <w:p w:rsidR="00486D6E" w:rsidRPr="005C5692" w:rsidRDefault="00486D6E" w:rsidP="00486D6E">
            <w:pPr>
              <w:pStyle w:val="En-tte"/>
              <w:jc w:val="center"/>
              <w:rPr>
                <w:rFonts w:ascii="Arial" w:hAnsi="Arial" w:cs="Arial"/>
                <w:color w:val="000000"/>
                <w:lang w:bidi="ar-MA"/>
              </w:rPr>
            </w:pPr>
          </w:p>
        </w:tc>
        <w:tc>
          <w:tcPr>
            <w:tcW w:w="2254" w:type="dxa"/>
            <w:vAlign w:val="center"/>
          </w:tcPr>
          <w:p w:rsidR="00486D6E" w:rsidRDefault="00486D6E" w:rsidP="006C662E">
            <w:pPr>
              <w:pStyle w:val="En-tte"/>
              <w:tabs>
                <w:tab w:val="left" w:pos="115"/>
              </w:tabs>
              <w:ind w:right="314"/>
              <w:jc w:val="center"/>
              <w:rPr>
                <w:lang w:bidi="ar-MA"/>
              </w:rPr>
            </w:pPr>
            <w:r w:rsidRPr="00A01F78">
              <w:rPr>
                <w:noProof/>
              </w:rPr>
              <w:drawing>
                <wp:inline distT="0" distB="0" distL="0" distR="0">
                  <wp:extent cx="798481" cy="790575"/>
                  <wp:effectExtent l="0" t="0" r="1905" b="0"/>
                  <wp:docPr id="1" name="Image 1" descr="LOGO U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1106" cy="793174"/>
                          </a:xfrm>
                          <a:prstGeom prst="rect">
                            <a:avLst/>
                          </a:prstGeom>
                          <a:noFill/>
                          <a:ln>
                            <a:noFill/>
                          </a:ln>
                        </pic:spPr>
                      </pic:pic>
                    </a:graphicData>
                  </a:graphic>
                </wp:inline>
              </w:drawing>
            </w:r>
          </w:p>
        </w:tc>
        <w:tc>
          <w:tcPr>
            <w:tcW w:w="4254" w:type="dxa"/>
            <w:vAlign w:val="center"/>
          </w:tcPr>
          <w:p w:rsidR="00486D6E" w:rsidRDefault="00486D6E" w:rsidP="00486D6E">
            <w:pPr>
              <w:pStyle w:val="En-tte"/>
              <w:ind w:right="149"/>
              <w:jc w:val="center"/>
              <w:rPr>
                <w:rFonts w:ascii="Lucida Handwriting" w:hAnsi="Lucida Handwriting" w:cs="Tahoma"/>
                <w:b/>
                <w:bCs/>
                <w:color w:val="0070C0"/>
                <w:sz w:val="28"/>
                <w:szCs w:val="28"/>
                <w:lang w:bidi="ar-MA"/>
              </w:rPr>
            </w:pPr>
          </w:p>
          <w:p w:rsidR="00486D6E" w:rsidRPr="005C5692" w:rsidRDefault="00486D6E" w:rsidP="006C662E">
            <w:pPr>
              <w:pStyle w:val="En-tte"/>
              <w:bidi/>
              <w:jc w:val="right"/>
              <w:rPr>
                <w:rFonts w:ascii="Lucida Handwriting" w:hAnsi="Lucida Handwriting" w:cs="Tahoma"/>
                <w:b/>
                <w:bCs/>
                <w:color w:val="1F497D"/>
                <w:sz w:val="32"/>
                <w:szCs w:val="32"/>
                <w:lang w:bidi="ar-MA"/>
              </w:rPr>
            </w:pPr>
            <w:r w:rsidRPr="005C5692">
              <w:rPr>
                <w:rFonts w:ascii="Lucida Handwriting" w:hAnsi="Lucida Handwriting" w:cs="Tahoma" w:hint="cs"/>
                <w:b/>
                <w:bCs/>
                <w:color w:val="1F497D"/>
                <w:sz w:val="32"/>
                <w:szCs w:val="32"/>
                <w:rtl/>
                <w:lang w:bidi="ar-MA"/>
              </w:rPr>
              <w:t>ا</w:t>
            </w:r>
            <w:r w:rsidRPr="005C5692">
              <w:rPr>
                <w:rFonts w:ascii="Lucida Handwriting" w:hAnsi="Lucida Handwriting" w:cs="Tahoma"/>
                <w:b/>
                <w:bCs/>
                <w:color w:val="1F497D"/>
                <w:sz w:val="32"/>
                <w:szCs w:val="32"/>
                <w:rtl/>
                <w:lang w:bidi="ar-MA"/>
              </w:rPr>
              <w:t>لاتحــاد المغــربي للشغــل</w:t>
            </w:r>
          </w:p>
          <w:p w:rsidR="00486D6E" w:rsidRPr="005C5692" w:rsidRDefault="00486D6E" w:rsidP="00486D6E">
            <w:pPr>
              <w:pStyle w:val="En-tte"/>
              <w:bidi/>
              <w:ind w:right="149"/>
              <w:jc w:val="center"/>
              <w:rPr>
                <w:b/>
                <w:bCs/>
                <w:sz w:val="16"/>
                <w:szCs w:val="16"/>
                <w:lang w:bidi="ar-MA"/>
              </w:rPr>
            </w:pPr>
          </w:p>
          <w:p w:rsidR="00486D6E" w:rsidRPr="005C5692" w:rsidRDefault="00486D6E" w:rsidP="00486D6E">
            <w:pPr>
              <w:pStyle w:val="En-tte"/>
              <w:bidi/>
              <w:ind w:right="149"/>
              <w:jc w:val="center"/>
              <w:rPr>
                <w:b/>
                <w:bCs/>
                <w:sz w:val="16"/>
                <w:szCs w:val="16"/>
                <w:rtl/>
                <w:lang w:bidi="ar-MA"/>
              </w:rPr>
            </w:pPr>
          </w:p>
        </w:tc>
      </w:tr>
      <w:tr w:rsidR="00486D6E" w:rsidRPr="00D53A28" w:rsidTr="006C662E">
        <w:trPr>
          <w:trHeight w:val="591"/>
        </w:trPr>
        <w:tc>
          <w:tcPr>
            <w:tcW w:w="11206" w:type="dxa"/>
            <w:gridSpan w:val="4"/>
            <w:shd w:val="clear" w:color="auto" w:fill="8DB3E2"/>
          </w:tcPr>
          <w:p w:rsidR="00486D6E" w:rsidRDefault="00486D6E" w:rsidP="00ED40F9">
            <w:pPr>
              <w:widowControl w:val="0"/>
              <w:tabs>
                <w:tab w:val="left" w:pos="810"/>
                <w:tab w:val="center" w:pos="5775"/>
              </w:tabs>
              <w:autoSpaceDE w:val="0"/>
              <w:autoSpaceDN w:val="0"/>
              <w:adjustRightInd w:val="0"/>
              <w:spacing w:after="0" w:line="240" w:lineRule="auto"/>
              <w:ind w:left="-567" w:right="-427"/>
              <w:rPr>
                <w:b/>
                <w:bCs/>
                <w:rtl/>
              </w:rPr>
            </w:pPr>
            <w:r>
              <w:rPr>
                <w:b/>
                <w:bCs/>
              </w:rPr>
              <w:tab/>
            </w:r>
            <w:r>
              <w:rPr>
                <w:b/>
                <w:bCs/>
              </w:rPr>
              <w:tab/>
            </w:r>
            <w:r w:rsidRPr="00C06317">
              <w:rPr>
                <w:b/>
                <w:bCs/>
              </w:rPr>
              <w:t>Tél:</w:t>
            </w:r>
            <w:r w:rsidRPr="00C06317">
              <w:rPr>
                <w:rFonts w:hint="cs"/>
                <w:b/>
                <w:bCs/>
                <w:rtl/>
              </w:rPr>
              <w:t xml:space="preserve"> </w:t>
            </w:r>
            <w:r w:rsidRPr="00C06317">
              <w:rPr>
                <w:b/>
                <w:bCs/>
              </w:rPr>
              <w:t>(00212)</w:t>
            </w:r>
            <w:r w:rsidRPr="00C06317">
              <w:rPr>
                <w:rFonts w:hint="cs"/>
                <w:b/>
                <w:bCs/>
                <w:rtl/>
              </w:rPr>
              <w:t xml:space="preserve"> </w:t>
            </w:r>
            <w:r w:rsidRPr="00C06317">
              <w:rPr>
                <w:b/>
                <w:bCs/>
              </w:rPr>
              <w:t xml:space="preserve"> </w:t>
            </w:r>
            <w:r w:rsidRPr="00C06317">
              <w:rPr>
                <w:rFonts w:hint="cs"/>
                <w:b/>
                <w:bCs/>
                <w:rtl/>
              </w:rPr>
              <w:t>0</w:t>
            </w:r>
            <w:r w:rsidRPr="00C06317">
              <w:rPr>
                <w:b/>
                <w:bCs/>
              </w:rPr>
              <w:t>5</w:t>
            </w:r>
            <w:r w:rsidRPr="00C06317">
              <w:rPr>
                <w:rFonts w:hint="cs"/>
                <w:b/>
                <w:bCs/>
                <w:rtl/>
              </w:rPr>
              <w:t>.</w:t>
            </w:r>
            <w:r w:rsidRPr="00C06317">
              <w:rPr>
                <w:b/>
                <w:bCs/>
              </w:rPr>
              <w:t>22</w:t>
            </w:r>
            <w:r w:rsidRPr="00C06317">
              <w:rPr>
                <w:rFonts w:hint="cs"/>
                <w:b/>
                <w:bCs/>
                <w:rtl/>
              </w:rPr>
              <w:t>.</w:t>
            </w:r>
            <w:r w:rsidRPr="00C06317">
              <w:rPr>
                <w:b/>
                <w:bCs/>
              </w:rPr>
              <w:t>30.80.23</w:t>
            </w:r>
            <w:r w:rsidRPr="00C06317">
              <w:rPr>
                <w:rFonts w:hint="cs"/>
                <w:b/>
                <w:bCs/>
                <w:rtl/>
              </w:rPr>
              <w:t xml:space="preserve"> </w:t>
            </w:r>
            <w:r w:rsidRPr="00C06317">
              <w:rPr>
                <w:b/>
                <w:bCs/>
              </w:rPr>
              <w:t xml:space="preserve">/ </w:t>
            </w:r>
            <w:r w:rsidRPr="00C06317">
              <w:rPr>
                <w:rFonts w:hint="cs"/>
                <w:b/>
                <w:bCs/>
                <w:rtl/>
              </w:rPr>
              <w:t>0</w:t>
            </w:r>
            <w:r w:rsidRPr="00C06317">
              <w:rPr>
                <w:b/>
                <w:bCs/>
              </w:rPr>
              <w:t>5</w:t>
            </w:r>
            <w:r w:rsidRPr="00C06317">
              <w:rPr>
                <w:rFonts w:hint="cs"/>
                <w:b/>
                <w:bCs/>
                <w:rtl/>
              </w:rPr>
              <w:t>.</w:t>
            </w:r>
            <w:r w:rsidRPr="00C06317">
              <w:rPr>
                <w:b/>
                <w:bCs/>
              </w:rPr>
              <w:t>22</w:t>
            </w:r>
            <w:r w:rsidRPr="00C06317">
              <w:rPr>
                <w:rFonts w:hint="cs"/>
                <w:b/>
                <w:bCs/>
                <w:rtl/>
              </w:rPr>
              <w:t xml:space="preserve">. </w:t>
            </w:r>
            <w:r w:rsidRPr="00C06317">
              <w:rPr>
                <w:b/>
                <w:bCs/>
              </w:rPr>
              <w:t xml:space="preserve">30.0l.18    </w:t>
            </w:r>
            <w:r>
              <w:rPr>
                <w:b/>
                <w:bCs/>
              </w:rPr>
              <w:t xml:space="preserve">       </w:t>
            </w:r>
            <w:r w:rsidRPr="00C06317">
              <w:rPr>
                <w:b/>
                <w:bCs/>
              </w:rPr>
              <w:t>Fax: (00212)  05</w:t>
            </w:r>
            <w:r w:rsidRPr="00C06317">
              <w:rPr>
                <w:rFonts w:hint="cs"/>
                <w:b/>
                <w:bCs/>
                <w:rtl/>
              </w:rPr>
              <w:t>.</w:t>
            </w:r>
            <w:r w:rsidRPr="00C06317">
              <w:rPr>
                <w:b/>
                <w:bCs/>
              </w:rPr>
              <w:t>22</w:t>
            </w:r>
            <w:r w:rsidRPr="00C06317">
              <w:rPr>
                <w:rFonts w:hint="cs"/>
                <w:b/>
                <w:bCs/>
                <w:rtl/>
              </w:rPr>
              <w:t>.</w:t>
            </w:r>
            <w:r w:rsidRPr="00C06317">
              <w:rPr>
                <w:b/>
                <w:bCs/>
              </w:rPr>
              <w:t xml:space="preserve">30.78.54 </w:t>
            </w:r>
          </w:p>
          <w:p w:rsidR="00486D6E" w:rsidRPr="00C06317" w:rsidRDefault="00486D6E" w:rsidP="00ED40F9">
            <w:pPr>
              <w:widowControl w:val="0"/>
              <w:tabs>
                <w:tab w:val="left" w:pos="753"/>
                <w:tab w:val="center" w:pos="5823"/>
              </w:tabs>
              <w:autoSpaceDE w:val="0"/>
              <w:autoSpaceDN w:val="0"/>
              <w:bidi/>
              <w:adjustRightInd w:val="0"/>
              <w:spacing w:after="0" w:line="240" w:lineRule="auto"/>
              <w:ind w:right="-427"/>
              <w:rPr>
                <w:b/>
                <w:bCs/>
              </w:rPr>
            </w:pPr>
            <w:r>
              <w:rPr>
                <w:b/>
                <w:bCs/>
              </w:rPr>
              <w:tab/>
            </w:r>
            <w:r>
              <w:rPr>
                <w:b/>
                <w:bCs/>
              </w:rPr>
              <w:tab/>
              <w:t xml:space="preserve"> </w:t>
            </w:r>
            <w:r>
              <w:rPr>
                <w:rFonts w:hint="cs"/>
                <w:b/>
                <w:bCs/>
                <w:rtl/>
              </w:rPr>
              <w:t xml:space="preserve">232 </w:t>
            </w:r>
            <w:r>
              <w:rPr>
                <w:b/>
                <w:bCs/>
              </w:rPr>
              <w:t xml:space="preserve">  </w:t>
            </w:r>
            <w:r>
              <w:rPr>
                <w:rFonts w:hint="cs"/>
                <w:b/>
                <w:bCs/>
                <w:rtl/>
              </w:rPr>
              <w:t xml:space="preserve">شارع الجيش الملكي الدار البيضاء </w:t>
            </w:r>
            <w:r>
              <w:rPr>
                <w:b/>
                <w:bCs/>
              </w:rPr>
              <w:t xml:space="preserve">    </w:t>
            </w:r>
            <w:r>
              <w:rPr>
                <w:rFonts w:hint="cs"/>
                <w:b/>
                <w:bCs/>
                <w:rtl/>
              </w:rPr>
              <w:t xml:space="preserve">المغرب </w:t>
            </w:r>
            <w:r>
              <w:rPr>
                <w:b/>
                <w:bCs/>
              </w:rPr>
              <w:t xml:space="preserve"> 232   </w:t>
            </w:r>
            <w:r w:rsidRPr="005C5692">
              <w:rPr>
                <w:b/>
                <w:bCs/>
                <w:sz w:val="20"/>
                <w:szCs w:val="20"/>
              </w:rPr>
              <w:t>Bd  des  F.A.R   Casablanca      Maroc</w:t>
            </w:r>
            <w:r>
              <w:rPr>
                <w:b/>
                <w:bCs/>
              </w:rPr>
              <w:t>-</w:t>
            </w:r>
          </w:p>
          <w:p w:rsidR="00486D6E" w:rsidRPr="00C06317" w:rsidRDefault="00486D6E" w:rsidP="00ED40F9">
            <w:pPr>
              <w:widowControl w:val="0"/>
              <w:tabs>
                <w:tab w:val="left" w:pos="-108"/>
              </w:tabs>
              <w:autoSpaceDE w:val="0"/>
              <w:autoSpaceDN w:val="0"/>
              <w:adjustRightInd w:val="0"/>
              <w:spacing w:after="0" w:line="240" w:lineRule="auto"/>
              <w:ind w:left="-567" w:right="-427"/>
              <w:jc w:val="center"/>
              <w:rPr>
                <w:b/>
                <w:bCs/>
                <w:rtl/>
                <w:lang w:bidi="ar-MA"/>
              </w:rPr>
            </w:pPr>
            <w:r w:rsidRPr="00D53A28">
              <w:rPr>
                <w:i/>
                <w:iCs/>
                <w:lang w:val="en-GB"/>
              </w:rPr>
              <w:t>Web</w:t>
            </w:r>
            <w:r w:rsidRPr="00D53A28">
              <w:rPr>
                <w:b/>
                <w:bCs/>
                <w:lang w:val="en-GB"/>
              </w:rPr>
              <w:t> </w:t>
            </w:r>
            <w:r w:rsidRPr="00D53A28">
              <w:rPr>
                <w:b/>
                <w:bCs/>
                <w:color w:val="000000"/>
                <w:lang w:val="en-GB"/>
              </w:rPr>
              <w:t xml:space="preserve">:  </w:t>
            </w:r>
            <w:hyperlink r:id="rId7" w:history="1">
              <w:r w:rsidRPr="005C5692">
                <w:rPr>
                  <w:rStyle w:val="Lienhypertexte"/>
                  <w:b/>
                  <w:bCs/>
                  <w:color w:val="000000"/>
                  <w:lang w:val="en-GB"/>
                </w:rPr>
                <w:t>www.umt</w:t>
              </w:r>
              <w:r w:rsidRPr="005C5692">
                <w:rPr>
                  <w:rStyle w:val="Lienhypertexte"/>
                  <w:rFonts w:hint="cs"/>
                  <w:b/>
                  <w:bCs/>
                  <w:color w:val="000000"/>
                  <w:rtl/>
                </w:rPr>
                <w:t>.</w:t>
              </w:r>
              <w:r w:rsidRPr="005C5692">
                <w:rPr>
                  <w:rStyle w:val="Lienhypertexte"/>
                  <w:b/>
                  <w:bCs/>
                  <w:color w:val="000000"/>
                  <w:lang w:val="en-GB"/>
                </w:rPr>
                <w:t>ma</w:t>
              </w:r>
            </w:hyperlink>
            <w:r w:rsidRPr="00D53A28">
              <w:rPr>
                <w:b/>
                <w:bCs/>
                <w:sz w:val="26"/>
                <w:szCs w:val="26"/>
                <w:lang w:val="en-GB"/>
              </w:rPr>
              <w:t xml:space="preserve">  </w:t>
            </w:r>
            <w:r w:rsidRPr="00C06317">
              <w:rPr>
                <w:rFonts w:hint="cs"/>
                <w:b/>
                <w:bCs/>
                <w:rtl/>
              </w:rPr>
              <w:t xml:space="preserve">      </w:t>
            </w:r>
            <w:r w:rsidRPr="00D53A28">
              <w:rPr>
                <w:b/>
                <w:bCs/>
                <w:lang w:val="en-GB"/>
              </w:rPr>
              <w:t xml:space="preserve">  </w:t>
            </w:r>
            <w:r w:rsidRPr="005C5692">
              <w:rPr>
                <w:i/>
                <w:iCs/>
                <w:lang w:val="en-GB"/>
              </w:rPr>
              <w:t>Email</w:t>
            </w:r>
            <w:r w:rsidRPr="005C5692">
              <w:rPr>
                <w:b/>
                <w:bCs/>
                <w:lang w:val="en-GB"/>
              </w:rPr>
              <w:t xml:space="preserve">: </w:t>
            </w:r>
            <w:r>
              <w:rPr>
                <w:b/>
                <w:bCs/>
              </w:rPr>
              <w:t>umt.secretariatgeneral@gmail.com</w:t>
            </w:r>
          </w:p>
        </w:tc>
      </w:tr>
    </w:tbl>
    <w:p w:rsidR="00504FC9" w:rsidRDefault="00504FC9" w:rsidP="00ED40F9">
      <w:pPr>
        <w:spacing w:after="0" w:line="240" w:lineRule="auto"/>
        <w:jc w:val="both"/>
        <w:rPr>
          <w:rFonts w:ascii="Arial" w:eastAsia="Arial" w:hAnsi="Arial" w:cs="Arial"/>
          <w:i/>
          <w:sz w:val="24"/>
          <w:rtl/>
          <w:lang w:val="en-GB"/>
        </w:rPr>
      </w:pPr>
    </w:p>
    <w:p w:rsidR="00ED40F9" w:rsidRDefault="00ED40F9" w:rsidP="00ED40F9">
      <w:pPr>
        <w:spacing w:after="0" w:line="240" w:lineRule="auto"/>
        <w:jc w:val="both"/>
        <w:rPr>
          <w:rFonts w:ascii="Arial" w:eastAsia="Arial" w:hAnsi="Arial" w:cs="Arial"/>
          <w:i/>
          <w:sz w:val="24"/>
          <w:rtl/>
          <w:lang w:val="en-GB"/>
        </w:rPr>
      </w:pPr>
    </w:p>
    <w:p w:rsidR="00ED40F9" w:rsidRDefault="00ED40F9" w:rsidP="00ED40F9">
      <w:pPr>
        <w:spacing w:after="0" w:line="240" w:lineRule="auto"/>
        <w:jc w:val="both"/>
        <w:rPr>
          <w:rFonts w:ascii="Arial" w:eastAsia="Arial" w:hAnsi="Arial" w:cs="Arial"/>
          <w:i/>
          <w:sz w:val="24"/>
          <w:rtl/>
          <w:lang w:val="en-GB"/>
        </w:rPr>
      </w:pPr>
    </w:p>
    <w:tbl>
      <w:tblPr>
        <w:tblStyle w:val="Grilledutableau"/>
        <w:tblW w:w="0" w:type="auto"/>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91"/>
      </w:tblGrid>
      <w:tr w:rsidR="00ED40F9" w:rsidTr="00ED40F9">
        <w:tc>
          <w:tcPr>
            <w:tcW w:w="9191" w:type="dxa"/>
          </w:tcPr>
          <w:p w:rsidR="00ED40F9" w:rsidRDefault="00ED40F9" w:rsidP="00ED40F9">
            <w:pPr>
              <w:spacing w:line="276" w:lineRule="auto"/>
              <w:jc w:val="center"/>
              <w:rPr>
                <w:rFonts w:ascii="Arial" w:eastAsia="Arial" w:hAnsi="Arial" w:cs="Arial"/>
                <w:b/>
                <w:i/>
                <w:sz w:val="28"/>
              </w:rPr>
            </w:pPr>
            <w:r>
              <w:rPr>
                <w:rFonts w:ascii="Arial" w:eastAsia="Arial" w:hAnsi="Arial" w:cs="Arial"/>
                <w:b/>
                <w:i/>
                <w:sz w:val="28"/>
              </w:rPr>
              <w:t xml:space="preserve">Déclaration de l'Union Marocaine du Travail </w:t>
            </w:r>
          </w:p>
          <w:p w:rsidR="00ED40F9" w:rsidRDefault="00ED40F9" w:rsidP="00ED40F9">
            <w:pPr>
              <w:spacing w:line="276" w:lineRule="auto"/>
              <w:jc w:val="center"/>
              <w:rPr>
                <w:rFonts w:ascii="Arial" w:eastAsia="Arial" w:hAnsi="Arial" w:cs="Arial"/>
                <w:b/>
                <w:i/>
                <w:sz w:val="28"/>
              </w:rPr>
            </w:pPr>
            <w:r>
              <w:rPr>
                <w:rFonts w:ascii="Arial" w:eastAsia="Arial" w:hAnsi="Arial" w:cs="Arial"/>
                <w:b/>
                <w:i/>
                <w:sz w:val="28"/>
              </w:rPr>
              <w:t>Concernant la nouvelle "contribution sociale de solidarité "prévue dans le Projet de Loi de Finances 2021.</w:t>
            </w:r>
          </w:p>
          <w:p w:rsidR="00ED40F9" w:rsidRDefault="00ED40F9" w:rsidP="00ED40F9">
            <w:pPr>
              <w:jc w:val="both"/>
              <w:rPr>
                <w:rFonts w:ascii="Arial" w:eastAsia="Arial" w:hAnsi="Arial" w:cs="Arial"/>
                <w:i/>
                <w:sz w:val="24"/>
              </w:rPr>
            </w:pPr>
          </w:p>
        </w:tc>
      </w:tr>
    </w:tbl>
    <w:p w:rsidR="00ED40F9" w:rsidRPr="00ED40F9" w:rsidRDefault="00ED40F9" w:rsidP="00ED40F9">
      <w:pPr>
        <w:spacing w:after="0" w:line="240" w:lineRule="auto"/>
        <w:jc w:val="both"/>
        <w:rPr>
          <w:rFonts w:ascii="Arial" w:eastAsia="Arial" w:hAnsi="Arial" w:cs="Arial"/>
          <w:i/>
          <w:sz w:val="24"/>
        </w:rPr>
      </w:pPr>
    </w:p>
    <w:p w:rsidR="001574D9" w:rsidRDefault="001574D9">
      <w:pPr>
        <w:spacing w:after="0" w:line="276" w:lineRule="auto"/>
        <w:jc w:val="center"/>
        <w:rPr>
          <w:rFonts w:ascii="Arial" w:eastAsia="Arial" w:hAnsi="Arial" w:cs="Arial"/>
          <w:b/>
          <w:i/>
          <w:sz w:val="28"/>
          <w:rtl/>
        </w:rPr>
      </w:pPr>
    </w:p>
    <w:p w:rsidR="00316A06" w:rsidRDefault="00316A06" w:rsidP="00316A06">
      <w:pPr>
        <w:spacing w:after="0" w:line="276" w:lineRule="auto"/>
        <w:jc w:val="center"/>
        <w:rPr>
          <w:rFonts w:ascii="Arial" w:eastAsia="Arial" w:hAnsi="Arial" w:cs="Arial"/>
          <w:b/>
          <w:i/>
          <w:sz w:val="28"/>
        </w:rPr>
      </w:pPr>
      <w:r>
        <w:rPr>
          <w:rFonts w:ascii="Arial" w:eastAsia="Arial" w:hAnsi="Arial" w:cs="Arial"/>
          <w:b/>
          <w:i/>
          <w:sz w:val="28"/>
        </w:rPr>
        <w:t>L’UMT :</w:t>
      </w:r>
    </w:p>
    <w:p w:rsidR="00316A06" w:rsidRDefault="00316A06" w:rsidP="00316A06">
      <w:pPr>
        <w:spacing w:after="0" w:line="276" w:lineRule="auto"/>
        <w:jc w:val="both"/>
        <w:rPr>
          <w:rFonts w:ascii="Arial" w:eastAsia="Arial" w:hAnsi="Arial" w:cs="Arial"/>
          <w:b/>
          <w:i/>
          <w:sz w:val="28"/>
        </w:rPr>
      </w:pPr>
      <w:r>
        <w:rPr>
          <w:rFonts w:ascii="Arial" w:eastAsia="Arial" w:hAnsi="Arial" w:cs="Arial"/>
          <w:b/>
          <w:i/>
          <w:sz w:val="28"/>
        </w:rPr>
        <w:t>-  Refuse cette mesure qui exacerbe le sentiment d'injustice fiscale parmi les salariés,</w:t>
      </w:r>
    </w:p>
    <w:p w:rsidR="00316A06" w:rsidRDefault="00316A06" w:rsidP="00316A06">
      <w:pPr>
        <w:spacing w:after="0" w:line="276" w:lineRule="auto"/>
        <w:jc w:val="both"/>
        <w:rPr>
          <w:rFonts w:ascii="Arial" w:eastAsia="Arial" w:hAnsi="Arial" w:cs="Arial"/>
          <w:b/>
          <w:i/>
          <w:sz w:val="28"/>
        </w:rPr>
      </w:pPr>
      <w:r>
        <w:rPr>
          <w:rFonts w:ascii="Arial" w:eastAsia="Arial" w:hAnsi="Arial" w:cs="Arial"/>
          <w:b/>
          <w:i/>
          <w:sz w:val="28"/>
        </w:rPr>
        <w:t>- Exige l'institution de l'impôt sur la fortune et sur les activités rentières,</w:t>
      </w:r>
    </w:p>
    <w:p w:rsidR="00316A06" w:rsidRDefault="00316A06" w:rsidP="00316A06">
      <w:pPr>
        <w:spacing w:after="0" w:line="276" w:lineRule="auto"/>
        <w:jc w:val="both"/>
        <w:rPr>
          <w:rFonts w:ascii="Arial" w:eastAsia="Arial" w:hAnsi="Arial" w:cs="Arial"/>
          <w:b/>
          <w:i/>
          <w:sz w:val="24"/>
        </w:rPr>
      </w:pPr>
    </w:p>
    <w:p w:rsidR="00316A06" w:rsidRDefault="00316A06" w:rsidP="00316A06">
      <w:pPr>
        <w:spacing w:after="200" w:line="276" w:lineRule="auto"/>
        <w:jc w:val="both"/>
        <w:rPr>
          <w:rFonts w:ascii="Arial" w:eastAsia="Arial" w:hAnsi="Arial" w:cs="Arial"/>
          <w:i/>
          <w:sz w:val="24"/>
        </w:rPr>
      </w:pPr>
      <w:r>
        <w:rPr>
          <w:rFonts w:ascii="Arial" w:eastAsia="Arial" w:hAnsi="Arial" w:cs="Arial"/>
          <w:i/>
          <w:sz w:val="24"/>
        </w:rPr>
        <w:t>Le gouvernement vient de présenter, le lundi 19 octobre 2020, le projet de loi de finances 2021 devant le parlement, et ce, en transgressant l'engagement pris par le chef du gouvernement de le soumettre préalablement aux partenaires sociaux et économiques pour consultation et avis.</w:t>
      </w:r>
    </w:p>
    <w:p w:rsidR="00316A06" w:rsidRDefault="00316A06" w:rsidP="00316A06">
      <w:pPr>
        <w:spacing w:after="200" w:line="276" w:lineRule="auto"/>
        <w:jc w:val="both"/>
        <w:rPr>
          <w:rFonts w:ascii="Arial" w:eastAsia="Arial" w:hAnsi="Arial" w:cs="Arial"/>
          <w:i/>
          <w:sz w:val="24"/>
        </w:rPr>
      </w:pPr>
      <w:r>
        <w:rPr>
          <w:rFonts w:ascii="Arial" w:eastAsia="Arial" w:hAnsi="Arial" w:cs="Arial"/>
          <w:i/>
          <w:sz w:val="24"/>
        </w:rPr>
        <w:t>Le premier constat partagé par le Secrétariat National et par les différentes structures syndicales de l’UMT, met en exergue l'approche purement néolibérale et comptable qui a , une fois encore , retenue la préférence du gouvernement dans l'élaboration de ce Projet de loi de finances.</w:t>
      </w:r>
    </w:p>
    <w:p w:rsidR="00316A06" w:rsidRDefault="00316A06" w:rsidP="00316A06">
      <w:pPr>
        <w:spacing w:after="200" w:line="276" w:lineRule="auto"/>
        <w:jc w:val="both"/>
        <w:rPr>
          <w:rFonts w:ascii="Arial" w:eastAsia="Arial" w:hAnsi="Arial" w:cs="Arial"/>
          <w:i/>
          <w:sz w:val="24"/>
        </w:rPr>
      </w:pPr>
      <w:r>
        <w:rPr>
          <w:rFonts w:ascii="Arial" w:eastAsia="Arial" w:hAnsi="Arial" w:cs="Arial"/>
          <w:i/>
          <w:sz w:val="24"/>
        </w:rPr>
        <w:t>- Alors que le contexte de la crise sanitaire, due à la pandémie de Covid19 , avec  ses conséquences dramatiques pour la santé et ses conséquences sociales et économiques catastrophiques pour l’emploi  (suppressions d’emplois, augmentation du chômage et de la précarité...), et pour le pouvoir d'achat et les conditions de vie des travailleurs-euses et d’une partie importante de la population.</w:t>
      </w:r>
    </w:p>
    <w:p w:rsidR="00316A06" w:rsidRDefault="00316A06" w:rsidP="00316A06">
      <w:pPr>
        <w:spacing w:after="200" w:line="276" w:lineRule="auto"/>
        <w:jc w:val="both"/>
        <w:rPr>
          <w:rFonts w:ascii="Arial" w:eastAsia="Arial" w:hAnsi="Arial" w:cs="Arial"/>
          <w:i/>
          <w:sz w:val="24"/>
        </w:rPr>
      </w:pPr>
      <w:r>
        <w:rPr>
          <w:rFonts w:ascii="Arial" w:eastAsia="Arial" w:hAnsi="Arial" w:cs="Arial"/>
          <w:i/>
          <w:sz w:val="24"/>
        </w:rPr>
        <w:t xml:space="preserve">- Et au moment où les travailleurs dont l’Impôt sur le Revenu (IR) est retenu à la source, à savoir les fonctionnaires, les salariés du privé et les retraités, s’attendaient à une baisse de la pression fiscale par l’élargissement de l’assiette fiscale, la révision des tranches d’imposition et le relèvement du seuil d'exonération, en application des recommandations des dernières Assises Fiscales et en réponse à nos incessantes revendications syndicales, </w:t>
      </w:r>
    </w:p>
    <w:p w:rsidR="00316A06" w:rsidRDefault="00316A06" w:rsidP="00316A06">
      <w:pPr>
        <w:spacing w:after="200" w:line="276" w:lineRule="auto"/>
        <w:jc w:val="both"/>
        <w:rPr>
          <w:rFonts w:ascii="Arial" w:eastAsia="Arial" w:hAnsi="Arial" w:cs="Arial"/>
          <w:i/>
          <w:sz w:val="24"/>
        </w:rPr>
      </w:pPr>
      <w:r>
        <w:rPr>
          <w:rFonts w:ascii="Arial" w:eastAsia="Arial" w:hAnsi="Arial" w:cs="Arial"/>
          <w:i/>
          <w:sz w:val="24"/>
        </w:rPr>
        <w:t xml:space="preserve">- Voilà que le gouvernement, projette de surtaxer les salariés en introduisant dans le Projet de loi de finances une mesure fiscale discriminatoire et infondée sous forme de </w:t>
      </w:r>
      <w:r>
        <w:rPr>
          <w:rFonts w:ascii="Arial" w:eastAsia="Arial" w:hAnsi="Arial" w:cs="Arial"/>
          <w:i/>
          <w:sz w:val="24"/>
        </w:rPr>
        <w:lastRenderedPageBreak/>
        <w:t>contribution sociale de solidarité ciblant les travailleurs assujettis à l'Impôt sur le Revenu (IR) et ayant un revenu mensuel à partir du seuil de 10.000 dhs nets par mois.</w:t>
      </w:r>
    </w:p>
    <w:p w:rsidR="00316A06" w:rsidRDefault="00316A06" w:rsidP="00316A06">
      <w:pPr>
        <w:spacing w:after="200" w:line="276" w:lineRule="auto"/>
        <w:jc w:val="both"/>
        <w:rPr>
          <w:rFonts w:ascii="Arial" w:eastAsia="Arial" w:hAnsi="Arial" w:cs="Arial"/>
          <w:b/>
          <w:i/>
          <w:sz w:val="24"/>
        </w:rPr>
      </w:pPr>
      <w:r>
        <w:rPr>
          <w:rFonts w:ascii="Arial" w:eastAsia="Arial" w:hAnsi="Arial" w:cs="Arial"/>
          <w:i/>
          <w:sz w:val="24"/>
        </w:rPr>
        <w:t xml:space="preserve">- Cette autre injustice fiscale que le gouvernement compte appliquer avec un taux de 1.5 %, essentiellement sur les revenus salariaux, ne tient pas compte qu'à date d'aujourd'hui, plus de </w:t>
      </w:r>
      <w:r>
        <w:rPr>
          <w:rFonts w:ascii="Arial" w:eastAsia="Arial" w:hAnsi="Arial" w:cs="Arial"/>
          <w:b/>
          <w:i/>
          <w:sz w:val="24"/>
        </w:rPr>
        <w:t>73% de l'IR collecté par l'Etat vient des revenus salariaux des employés du privé et des fonctionnaires, imposés à la source.</w:t>
      </w:r>
      <w:r>
        <w:rPr>
          <w:rFonts w:ascii="Arial" w:eastAsia="Arial" w:hAnsi="Arial" w:cs="Arial"/>
          <w:i/>
          <w:sz w:val="24"/>
        </w:rPr>
        <w:t xml:space="preserve"> Au moment où </w:t>
      </w:r>
      <w:r>
        <w:rPr>
          <w:rFonts w:ascii="Arial" w:eastAsia="Arial" w:hAnsi="Arial" w:cs="Arial"/>
          <w:b/>
          <w:i/>
          <w:sz w:val="24"/>
        </w:rPr>
        <w:t>les revenus fonciers, immobiliers, professionnels, rentiers et agricoles sont sous-taxés à cause du "mode déclaratif volontaire" et flexible accentuant la fraude et l'évasion fiscale, et alors que le secteur informel continue d'échapper totalement à l'impôt.</w:t>
      </w:r>
    </w:p>
    <w:p w:rsidR="00316A06" w:rsidRDefault="00316A06" w:rsidP="00316A06">
      <w:pPr>
        <w:spacing w:after="200" w:line="276" w:lineRule="auto"/>
        <w:jc w:val="both"/>
        <w:rPr>
          <w:rFonts w:ascii="Arial" w:eastAsia="Arial" w:hAnsi="Arial" w:cs="Arial"/>
          <w:b/>
          <w:i/>
          <w:sz w:val="24"/>
        </w:rPr>
      </w:pPr>
      <w:r>
        <w:rPr>
          <w:rFonts w:ascii="Arial" w:eastAsia="Arial" w:hAnsi="Arial" w:cs="Arial"/>
          <w:b/>
          <w:i/>
          <w:sz w:val="24"/>
        </w:rPr>
        <w:t xml:space="preserve">- </w:t>
      </w:r>
      <w:r>
        <w:rPr>
          <w:rFonts w:ascii="Arial" w:eastAsia="Arial" w:hAnsi="Arial" w:cs="Arial"/>
          <w:i/>
          <w:sz w:val="24"/>
        </w:rPr>
        <w:t xml:space="preserve">De la même façon, cette mesure ne tient pas compte du revenu des familles qui pour beaucoup se trouvent </w:t>
      </w:r>
      <w:r>
        <w:rPr>
          <w:rFonts w:ascii="Arial" w:eastAsia="Arial" w:hAnsi="Arial" w:cs="Arial"/>
          <w:b/>
          <w:i/>
          <w:sz w:val="24"/>
        </w:rPr>
        <w:t xml:space="preserve">amputés des salaires des conjoints victimes de licenciement. </w:t>
      </w:r>
    </w:p>
    <w:p w:rsidR="00316A06" w:rsidRDefault="00316A06" w:rsidP="00316A06">
      <w:pPr>
        <w:spacing w:after="200" w:line="276" w:lineRule="auto"/>
        <w:jc w:val="both"/>
        <w:rPr>
          <w:rFonts w:ascii="Arial" w:eastAsia="Arial" w:hAnsi="Arial" w:cs="Arial"/>
          <w:b/>
          <w:i/>
          <w:sz w:val="24"/>
        </w:rPr>
      </w:pPr>
      <w:r>
        <w:rPr>
          <w:rFonts w:ascii="Arial" w:eastAsia="Arial" w:hAnsi="Arial" w:cs="Arial"/>
          <w:i/>
          <w:sz w:val="24"/>
        </w:rPr>
        <w:t xml:space="preserve">- En outre, il est moralement injuste et financièrement infructueux de faire supporter le financement du fonds d'appui à la cohésion sociale et à l'élargissement de la protection sociale, principalement sur les travailleurs qui </w:t>
      </w:r>
      <w:r>
        <w:rPr>
          <w:rFonts w:ascii="Arial" w:eastAsia="Arial" w:hAnsi="Arial" w:cs="Arial"/>
          <w:b/>
          <w:i/>
          <w:sz w:val="24"/>
        </w:rPr>
        <w:t>subissent déjà de plein fouet l'impôt sous toutes ses formes, les frais de scolarité et de santé faute de services publics de qualité en sus de la facture de la décompensation.</w:t>
      </w:r>
    </w:p>
    <w:p w:rsidR="00316A06" w:rsidRDefault="00316A06" w:rsidP="00316A06">
      <w:pPr>
        <w:spacing w:after="200" w:line="276" w:lineRule="auto"/>
        <w:jc w:val="both"/>
        <w:rPr>
          <w:rFonts w:ascii="Arial" w:eastAsia="Arial" w:hAnsi="Arial" w:cs="Arial"/>
          <w:b/>
          <w:i/>
          <w:sz w:val="24"/>
        </w:rPr>
      </w:pPr>
      <w:r>
        <w:rPr>
          <w:rFonts w:ascii="Arial" w:eastAsia="Arial" w:hAnsi="Arial" w:cs="Arial"/>
          <w:i/>
          <w:sz w:val="24"/>
        </w:rPr>
        <w:t xml:space="preserve">- A travers ce montage fiscal et alors que </w:t>
      </w:r>
      <w:r>
        <w:rPr>
          <w:rFonts w:ascii="Arial" w:eastAsia="Arial" w:hAnsi="Arial" w:cs="Arial"/>
          <w:b/>
          <w:i/>
          <w:sz w:val="24"/>
        </w:rPr>
        <w:t>la fortune, le patrimoine ou les successions, qui représentent un grand gisement de recettes fiscales, sont toujours épargnés,</w:t>
      </w:r>
      <w:r>
        <w:rPr>
          <w:rFonts w:ascii="Arial" w:eastAsia="Arial" w:hAnsi="Arial" w:cs="Arial"/>
          <w:i/>
          <w:sz w:val="24"/>
        </w:rPr>
        <w:t xml:space="preserve"> et que </w:t>
      </w:r>
      <w:r>
        <w:rPr>
          <w:rFonts w:ascii="Arial" w:eastAsia="Arial" w:hAnsi="Arial" w:cs="Arial"/>
          <w:b/>
          <w:i/>
          <w:sz w:val="24"/>
        </w:rPr>
        <w:t>la rente, la fraude et l'évasion fiscale ne sont nullement appréhendés</w:t>
      </w:r>
      <w:r>
        <w:rPr>
          <w:rFonts w:ascii="Arial" w:eastAsia="Arial" w:hAnsi="Arial" w:cs="Arial"/>
          <w:i/>
          <w:sz w:val="24"/>
        </w:rPr>
        <w:t xml:space="preserve">, le gouvernement consacre, une fois encore, </w:t>
      </w:r>
      <w:r>
        <w:rPr>
          <w:rFonts w:ascii="Arial" w:eastAsia="Arial" w:hAnsi="Arial" w:cs="Arial"/>
          <w:b/>
          <w:i/>
          <w:sz w:val="24"/>
        </w:rPr>
        <w:t xml:space="preserve">le choix de la facilité </w:t>
      </w:r>
      <w:r>
        <w:rPr>
          <w:rFonts w:ascii="Arial" w:eastAsia="Arial" w:hAnsi="Arial" w:cs="Arial"/>
          <w:i/>
          <w:sz w:val="24"/>
        </w:rPr>
        <w:t xml:space="preserve">en faisant payer toujours les mêmes et enterre le vœu cher d'un </w:t>
      </w:r>
      <w:r>
        <w:rPr>
          <w:rFonts w:ascii="Arial" w:eastAsia="Arial" w:hAnsi="Arial" w:cs="Arial"/>
          <w:b/>
          <w:i/>
          <w:sz w:val="24"/>
        </w:rPr>
        <w:t>système fiscal et d'un modèle social justes et équitables.</w:t>
      </w:r>
    </w:p>
    <w:p w:rsidR="00316A06" w:rsidRDefault="00316A06" w:rsidP="00316A06">
      <w:pPr>
        <w:spacing w:after="200" w:line="276" w:lineRule="auto"/>
        <w:jc w:val="both"/>
        <w:rPr>
          <w:rFonts w:ascii="Arial" w:eastAsia="Arial" w:hAnsi="Arial" w:cs="Arial"/>
          <w:b/>
          <w:i/>
          <w:sz w:val="24"/>
        </w:rPr>
      </w:pPr>
      <w:r>
        <w:rPr>
          <w:rFonts w:ascii="Arial" w:eastAsia="Arial" w:hAnsi="Arial" w:cs="Arial"/>
          <w:i/>
          <w:sz w:val="24"/>
        </w:rPr>
        <w:t xml:space="preserve">- L'élargissement de la protection sociale est un </w:t>
      </w:r>
      <w:r>
        <w:rPr>
          <w:rFonts w:ascii="Arial" w:eastAsia="Arial" w:hAnsi="Arial" w:cs="Arial"/>
          <w:b/>
          <w:i/>
          <w:sz w:val="24"/>
        </w:rPr>
        <w:t xml:space="preserve">chantier national </w:t>
      </w:r>
      <w:r>
        <w:rPr>
          <w:rFonts w:ascii="Arial" w:eastAsia="Arial" w:hAnsi="Arial" w:cs="Arial"/>
          <w:i/>
          <w:sz w:val="24"/>
        </w:rPr>
        <w:t xml:space="preserve">dont le financement incombe en premier lieu à l'Etat qui doit imaginer de nouveaux mécanismes justes pour augmenter ses recettes fiscales, en </w:t>
      </w:r>
      <w:r>
        <w:rPr>
          <w:rFonts w:ascii="Arial" w:eastAsia="Arial" w:hAnsi="Arial" w:cs="Arial"/>
          <w:b/>
          <w:i/>
          <w:sz w:val="24"/>
        </w:rPr>
        <w:t xml:space="preserve">élargissant l'assiette fiscale à ceux qui ne paient pas l’impôt, en intégrant l'informel et en taxant justement les secteurs qui ont profité de la crise ..Et non pas en érodant davantage le pouvoir d'achat des seuls salariés qui supportent déjà lourdement l'impôt . </w:t>
      </w:r>
    </w:p>
    <w:p w:rsidR="00316A06" w:rsidRDefault="00316A06" w:rsidP="00316A06">
      <w:pPr>
        <w:spacing w:after="200" w:line="276" w:lineRule="auto"/>
        <w:jc w:val="both"/>
        <w:rPr>
          <w:rFonts w:ascii="Arial" w:eastAsia="Arial" w:hAnsi="Arial" w:cs="Arial"/>
          <w:b/>
          <w:i/>
          <w:sz w:val="24"/>
        </w:rPr>
      </w:pPr>
      <w:r>
        <w:rPr>
          <w:rFonts w:ascii="Arial" w:eastAsia="Arial" w:hAnsi="Arial" w:cs="Arial"/>
          <w:i/>
          <w:sz w:val="24"/>
        </w:rPr>
        <w:t xml:space="preserve">- </w:t>
      </w:r>
      <w:r>
        <w:rPr>
          <w:rFonts w:ascii="Arial" w:eastAsia="Arial" w:hAnsi="Arial" w:cs="Arial"/>
          <w:b/>
          <w:i/>
          <w:sz w:val="24"/>
        </w:rPr>
        <w:t>L'UMT qui demeure mobilisée en ces temps de crise et adhère parfaitement à tout élan de solidarité national :</w:t>
      </w:r>
    </w:p>
    <w:p w:rsidR="00316A06" w:rsidRDefault="00316A06" w:rsidP="00316A06">
      <w:pPr>
        <w:spacing w:after="200" w:line="276" w:lineRule="auto"/>
        <w:jc w:val="both"/>
        <w:rPr>
          <w:rFonts w:ascii="Arial" w:eastAsia="Arial" w:hAnsi="Arial" w:cs="Arial"/>
          <w:b/>
          <w:i/>
          <w:sz w:val="24"/>
        </w:rPr>
      </w:pPr>
      <w:r>
        <w:rPr>
          <w:rFonts w:ascii="Arial" w:eastAsia="Arial" w:hAnsi="Arial" w:cs="Arial"/>
          <w:i/>
          <w:sz w:val="24"/>
        </w:rPr>
        <w:t xml:space="preserve">- </w:t>
      </w:r>
      <w:r>
        <w:rPr>
          <w:rFonts w:ascii="Arial" w:eastAsia="Arial" w:hAnsi="Arial" w:cs="Arial"/>
          <w:b/>
          <w:i/>
          <w:sz w:val="24"/>
        </w:rPr>
        <w:t>Proteste contre l'absence de toute concertation préalable autour du Projet de Loi de Finances,</w:t>
      </w:r>
    </w:p>
    <w:p w:rsidR="00316A06" w:rsidRDefault="00316A06" w:rsidP="00316A06">
      <w:pPr>
        <w:spacing w:after="200" w:line="276" w:lineRule="auto"/>
        <w:jc w:val="both"/>
        <w:rPr>
          <w:rFonts w:ascii="Arial" w:eastAsia="Arial" w:hAnsi="Arial" w:cs="Arial"/>
          <w:b/>
          <w:i/>
          <w:sz w:val="24"/>
        </w:rPr>
      </w:pPr>
      <w:r>
        <w:rPr>
          <w:rFonts w:ascii="Arial" w:eastAsia="Arial" w:hAnsi="Arial" w:cs="Arial"/>
          <w:b/>
          <w:i/>
          <w:sz w:val="24"/>
        </w:rPr>
        <w:t>- Refuse cette nouvelle mesure qui exacerbe le sentiment d'injustice fiscale parmi les salariés,</w:t>
      </w:r>
    </w:p>
    <w:p w:rsidR="00316A06" w:rsidRDefault="00316A06" w:rsidP="00316A06">
      <w:pPr>
        <w:spacing w:after="200" w:line="276" w:lineRule="auto"/>
        <w:jc w:val="both"/>
        <w:rPr>
          <w:rFonts w:ascii="Arial" w:eastAsia="Arial" w:hAnsi="Arial" w:cs="Arial"/>
          <w:b/>
          <w:i/>
          <w:sz w:val="24"/>
        </w:rPr>
      </w:pPr>
      <w:r>
        <w:rPr>
          <w:rFonts w:ascii="Arial" w:eastAsia="Arial" w:hAnsi="Arial" w:cs="Arial"/>
          <w:b/>
          <w:i/>
          <w:sz w:val="24"/>
        </w:rPr>
        <w:t xml:space="preserve">- Revendique l’institution de de l'impôt sur la fortune et sur les activités rentières,   </w:t>
      </w:r>
    </w:p>
    <w:p w:rsidR="00316A06" w:rsidRDefault="00316A06" w:rsidP="00316A06">
      <w:pPr>
        <w:spacing w:after="200" w:line="276" w:lineRule="auto"/>
        <w:jc w:val="both"/>
        <w:rPr>
          <w:rFonts w:ascii="Arial" w:eastAsia="Arial" w:hAnsi="Arial" w:cs="Arial"/>
          <w:b/>
          <w:i/>
          <w:sz w:val="24"/>
        </w:rPr>
      </w:pPr>
      <w:r>
        <w:rPr>
          <w:rFonts w:ascii="Arial" w:eastAsia="Arial" w:hAnsi="Arial" w:cs="Arial"/>
          <w:b/>
          <w:i/>
          <w:sz w:val="24"/>
        </w:rPr>
        <w:t>- Appelle le gouvernement à l'ouverture, en priorité, du chantier de la réforme globale de la fiscalité dans le sens de l’équité, à l'effet d'un meilleur financement de l'économie nationale et de toutes les actions sociales,</w:t>
      </w:r>
    </w:p>
    <w:p w:rsidR="00316A06" w:rsidRDefault="00316A06" w:rsidP="00316A06">
      <w:pPr>
        <w:spacing w:after="200" w:line="276" w:lineRule="auto"/>
        <w:jc w:val="both"/>
        <w:rPr>
          <w:rFonts w:ascii="Arial" w:eastAsia="Arial" w:hAnsi="Arial" w:cs="Arial"/>
          <w:b/>
          <w:i/>
          <w:sz w:val="24"/>
        </w:rPr>
      </w:pPr>
      <w:r>
        <w:rPr>
          <w:rFonts w:ascii="Arial" w:eastAsia="Arial" w:hAnsi="Arial" w:cs="Arial"/>
          <w:b/>
          <w:i/>
          <w:sz w:val="24"/>
        </w:rPr>
        <w:t>-Rappelle au gouvernement que toute décision concernant les travailleurs rentre dans le champ du dialogue social et doit faire l'objet de négociations avec le mouvement syndical,</w:t>
      </w:r>
    </w:p>
    <w:p w:rsidR="00316A06" w:rsidRDefault="00316A06" w:rsidP="00316A06">
      <w:pPr>
        <w:spacing w:after="200" w:line="276" w:lineRule="auto"/>
        <w:jc w:val="both"/>
        <w:rPr>
          <w:rFonts w:ascii="Arial" w:eastAsia="Arial" w:hAnsi="Arial" w:cs="Arial"/>
          <w:b/>
          <w:i/>
          <w:sz w:val="24"/>
        </w:rPr>
      </w:pPr>
      <w:r>
        <w:rPr>
          <w:rFonts w:ascii="Arial" w:eastAsia="Arial" w:hAnsi="Arial" w:cs="Arial"/>
          <w:b/>
          <w:i/>
          <w:sz w:val="24"/>
        </w:rPr>
        <w:t>- Exige que les dispositifs d’aides publiques massives mis en œuvre pour soutenir l’activité des entreprises, conduisent effectivement à préserver les emplois, les salaires et les garanties collectives. De véritables engagements doivent être exigés en contreparties et contrôlés quant à leur mise en œuvre effective,</w:t>
      </w:r>
    </w:p>
    <w:p w:rsidR="00316A06" w:rsidRDefault="00316A06" w:rsidP="00316A06">
      <w:pPr>
        <w:spacing w:after="200" w:line="276" w:lineRule="auto"/>
        <w:jc w:val="both"/>
        <w:rPr>
          <w:rFonts w:ascii="Arial" w:eastAsia="Arial" w:hAnsi="Arial" w:cs="Arial"/>
          <w:b/>
          <w:i/>
          <w:sz w:val="24"/>
        </w:rPr>
      </w:pPr>
      <w:r>
        <w:rPr>
          <w:rFonts w:ascii="Arial" w:eastAsia="Arial" w:hAnsi="Arial" w:cs="Arial"/>
          <w:b/>
          <w:i/>
          <w:sz w:val="24"/>
        </w:rPr>
        <w:t>- L'UMT appelle l'ensemble de ses responsables et militants syndicaux à travers tout le pays et dans tous les secteurs d’activité, à maintenir la mobilisation,</w:t>
      </w:r>
    </w:p>
    <w:p w:rsidR="00316A06" w:rsidRDefault="00316A06" w:rsidP="00316A06">
      <w:pPr>
        <w:spacing w:after="0" w:line="276" w:lineRule="auto"/>
        <w:jc w:val="both"/>
        <w:rPr>
          <w:rFonts w:ascii="Arial" w:eastAsia="Arial" w:hAnsi="Arial" w:cs="Arial"/>
          <w:i/>
        </w:rPr>
      </w:pPr>
    </w:p>
    <w:p w:rsidR="00316A06" w:rsidRDefault="00316A06" w:rsidP="00316A06">
      <w:pPr>
        <w:spacing w:after="0" w:line="276" w:lineRule="auto"/>
        <w:jc w:val="both"/>
        <w:rPr>
          <w:rFonts w:ascii="Arial" w:eastAsia="Arial" w:hAnsi="Arial" w:cs="Arial"/>
          <w:i/>
        </w:rPr>
      </w:pPr>
    </w:p>
    <w:p w:rsidR="00316A06" w:rsidRDefault="00316A06" w:rsidP="00316A06">
      <w:pPr>
        <w:spacing w:after="0" w:line="276" w:lineRule="auto"/>
        <w:jc w:val="both"/>
        <w:rPr>
          <w:rFonts w:ascii="Arial" w:eastAsia="Arial" w:hAnsi="Arial" w:cs="Arial"/>
          <w:i/>
        </w:rPr>
      </w:pPr>
      <w:r>
        <w:rPr>
          <w:rFonts w:ascii="Arial" w:eastAsia="Arial" w:hAnsi="Arial" w:cs="Arial"/>
          <w:i/>
        </w:rPr>
        <w:t>Casablanca, le 21 octobre 2020</w:t>
      </w:r>
    </w:p>
    <w:p w:rsidR="00316A06" w:rsidRDefault="00316A06" w:rsidP="00316A06">
      <w:pPr>
        <w:spacing w:after="0" w:line="276" w:lineRule="auto"/>
        <w:jc w:val="both"/>
        <w:rPr>
          <w:rFonts w:ascii="Arial" w:eastAsia="Arial" w:hAnsi="Arial" w:cs="Arial"/>
          <w:b/>
          <w:i/>
          <w:sz w:val="28"/>
        </w:rPr>
      </w:pPr>
    </w:p>
    <w:p w:rsidR="00316A06" w:rsidRDefault="00316A06" w:rsidP="00316A06">
      <w:pPr>
        <w:spacing w:after="0" w:line="276" w:lineRule="auto"/>
        <w:jc w:val="both"/>
        <w:rPr>
          <w:rFonts w:ascii="Arial" w:eastAsia="Arial" w:hAnsi="Arial" w:cs="Arial"/>
          <w:i/>
          <w:sz w:val="28"/>
        </w:rPr>
      </w:pPr>
      <w:r>
        <w:rPr>
          <w:rFonts w:ascii="Arial" w:eastAsia="Arial" w:hAnsi="Arial" w:cs="Arial"/>
          <w:b/>
          <w:i/>
          <w:sz w:val="28"/>
        </w:rPr>
        <w:t>Le Secrétariat National</w:t>
      </w:r>
    </w:p>
    <w:p w:rsidR="00316A06" w:rsidRDefault="00316A06" w:rsidP="00316A06">
      <w:pPr>
        <w:spacing w:after="200" w:line="276" w:lineRule="auto"/>
        <w:jc w:val="both"/>
        <w:rPr>
          <w:rFonts w:ascii="Arial" w:eastAsia="Arial" w:hAnsi="Arial" w:cs="Arial"/>
          <w:i/>
          <w:sz w:val="24"/>
        </w:rPr>
      </w:pPr>
    </w:p>
    <w:p w:rsidR="00504FC9" w:rsidRDefault="00504FC9">
      <w:pPr>
        <w:spacing w:after="0" w:line="276" w:lineRule="auto"/>
        <w:jc w:val="both"/>
        <w:rPr>
          <w:rFonts w:ascii="Arial" w:eastAsia="Arial" w:hAnsi="Arial" w:cs="Arial"/>
          <w:b/>
          <w:i/>
          <w:sz w:val="24"/>
        </w:rPr>
      </w:pPr>
    </w:p>
    <w:p w:rsidR="00504FC9" w:rsidRDefault="00504FC9">
      <w:pPr>
        <w:spacing w:after="200" w:line="276" w:lineRule="auto"/>
        <w:jc w:val="both"/>
        <w:rPr>
          <w:rFonts w:ascii="Arial" w:eastAsia="Arial" w:hAnsi="Arial" w:cs="Arial"/>
          <w:i/>
          <w:sz w:val="24"/>
        </w:rPr>
      </w:pPr>
    </w:p>
    <w:p w:rsidR="00504FC9" w:rsidRDefault="00504FC9">
      <w:pPr>
        <w:spacing w:after="200" w:line="276" w:lineRule="auto"/>
        <w:jc w:val="both"/>
        <w:rPr>
          <w:rFonts w:ascii="Arial" w:eastAsia="Arial" w:hAnsi="Arial" w:cs="Arial"/>
          <w:i/>
          <w:sz w:val="24"/>
        </w:rPr>
      </w:pPr>
    </w:p>
    <w:p w:rsidR="00504FC9" w:rsidRDefault="00504FC9">
      <w:pPr>
        <w:spacing w:after="200" w:line="276" w:lineRule="auto"/>
        <w:jc w:val="both"/>
        <w:rPr>
          <w:rFonts w:ascii="Arial" w:eastAsia="Arial" w:hAnsi="Arial" w:cs="Arial"/>
          <w:i/>
          <w:sz w:val="24"/>
        </w:rPr>
      </w:pPr>
    </w:p>
    <w:p w:rsidR="00504FC9" w:rsidRDefault="00504FC9">
      <w:pPr>
        <w:spacing w:after="200" w:line="276" w:lineRule="auto"/>
        <w:rPr>
          <w:rFonts w:ascii="Calibri" w:eastAsia="Calibri" w:hAnsi="Calibri" w:cs="Calibri"/>
        </w:rPr>
      </w:pPr>
    </w:p>
    <w:sectPr w:rsidR="00504F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AB" w:rsidRDefault="00946AAB" w:rsidP="00485ADC">
      <w:pPr>
        <w:spacing w:after="0" w:line="240" w:lineRule="auto"/>
      </w:pPr>
      <w:r>
        <w:separator/>
      </w:r>
    </w:p>
  </w:endnote>
  <w:endnote w:type="continuationSeparator" w:id="0">
    <w:p w:rsidR="00946AAB" w:rsidRDefault="00946AAB" w:rsidP="00485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LuzSans-Book"/>
    <w:charset w:val="00"/>
    <w:family w:val="roman"/>
    <w:pitch w:val="variable"/>
    <w:sig w:usb0="00000001" w:usb1="00000000" w:usb2="00000000" w:usb3="00000000" w:csb0="00000003" w:csb1="00000000"/>
  </w:font>
  <w:font w:name="FrankRuehl">
    <w:charset w:val="B1"/>
    <w:family w:val="swiss"/>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65190"/>
      <w:docPartObj>
        <w:docPartGallery w:val="Page Numbers (Bottom of Page)"/>
        <w:docPartUnique/>
      </w:docPartObj>
    </w:sdtPr>
    <w:sdtEndPr/>
    <w:sdtContent>
      <w:sdt>
        <w:sdtPr>
          <w:id w:val="-1769616900"/>
          <w:docPartObj>
            <w:docPartGallery w:val="Page Numbers (Top of Page)"/>
            <w:docPartUnique/>
          </w:docPartObj>
        </w:sdtPr>
        <w:sdtEndPr/>
        <w:sdtContent>
          <w:p w:rsidR="00485ADC" w:rsidRDefault="00485ADC" w:rsidP="00485ADC">
            <w:pPr>
              <w:pStyle w:val="Pieddepage"/>
              <w:jc w:val="right"/>
            </w:pPr>
            <w:r>
              <w:rPr>
                <w:b/>
                <w:bCs/>
                <w:sz w:val="24"/>
                <w:szCs w:val="24"/>
              </w:rPr>
              <w:fldChar w:fldCharType="begin"/>
            </w:r>
            <w:r>
              <w:rPr>
                <w:b/>
                <w:bCs/>
              </w:rPr>
              <w:instrText>PAGE</w:instrText>
            </w:r>
            <w:r>
              <w:rPr>
                <w:b/>
                <w:bCs/>
                <w:sz w:val="24"/>
                <w:szCs w:val="24"/>
              </w:rPr>
              <w:fldChar w:fldCharType="separate"/>
            </w:r>
            <w:r w:rsidR="00946AAB">
              <w:rPr>
                <w:b/>
                <w:bCs/>
                <w:noProof/>
                <w:sz w:val="24"/>
                <w:szCs w:val="24"/>
              </w:rPr>
              <w:t>1</w:t>
            </w:r>
            <w:r>
              <w:rPr>
                <w:b/>
                <w:bCs/>
                <w:sz w:val="24"/>
                <w:szCs w:val="24"/>
              </w:rPr>
              <w:fldChar w:fldCharType="end"/>
            </w:r>
            <w:r>
              <w:t xml:space="preserve"> </w:t>
            </w:r>
            <w:r>
              <w:rPr>
                <w:rFonts w:hint="cs"/>
                <w:rtl/>
              </w:rPr>
              <w:t>/</w:t>
            </w:r>
            <w:r>
              <w:rPr>
                <w:b/>
                <w:bCs/>
                <w:sz w:val="24"/>
                <w:szCs w:val="24"/>
              </w:rPr>
              <w:fldChar w:fldCharType="begin"/>
            </w:r>
            <w:r>
              <w:rPr>
                <w:b/>
                <w:bCs/>
              </w:rPr>
              <w:instrText>NUMPAGES</w:instrText>
            </w:r>
            <w:r>
              <w:rPr>
                <w:b/>
                <w:bCs/>
                <w:sz w:val="24"/>
                <w:szCs w:val="24"/>
              </w:rPr>
              <w:fldChar w:fldCharType="separate"/>
            </w:r>
            <w:r w:rsidR="00946AAB">
              <w:rPr>
                <w:b/>
                <w:bCs/>
                <w:noProof/>
                <w:sz w:val="24"/>
                <w:szCs w:val="24"/>
              </w:rPr>
              <w:t>1</w:t>
            </w:r>
            <w:r>
              <w:rPr>
                <w:b/>
                <w:bCs/>
                <w:sz w:val="24"/>
                <w:szCs w:val="24"/>
              </w:rPr>
              <w:fldChar w:fldCharType="end"/>
            </w:r>
          </w:p>
        </w:sdtContent>
      </w:sdt>
    </w:sdtContent>
  </w:sdt>
  <w:p w:rsidR="00485ADC" w:rsidRDefault="00485AD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AB" w:rsidRDefault="00946AAB" w:rsidP="00485ADC">
      <w:pPr>
        <w:spacing w:after="0" w:line="240" w:lineRule="auto"/>
      </w:pPr>
      <w:r>
        <w:separator/>
      </w:r>
    </w:p>
  </w:footnote>
  <w:footnote w:type="continuationSeparator" w:id="0">
    <w:p w:rsidR="00946AAB" w:rsidRDefault="00946AAB" w:rsidP="00485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C9"/>
    <w:rsid w:val="00051BD4"/>
    <w:rsid w:val="0007378B"/>
    <w:rsid w:val="001574D9"/>
    <w:rsid w:val="001F63B0"/>
    <w:rsid w:val="00316A06"/>
    <w:rsid w:val="00485ADC"/>
    <w:rsid w:val="00486D6E"/>
    <w:rsid w:val="00504FC9"/>
    <w:rsid w:val="006C662E"/>
    <w:rsid w:val="00946AAB"/>
    <w:rsid w:val="00E613EE"/>
    <w:rsid w:val="00ED40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3F8F-4BDA-43FB-BE6C-4D9FE164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5A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ADC"/>
    <w:rPr>
      <w:rFonts w:ascii="Segoe UI" w:hAnsi="Segoe UI" w:cs="Segoe UI"/>
      <w:sz w:val="18"/>
      <w:szCs w:val="18"/>
    </w:rPr>
  </w:style>
  <w:style w:type="paragraph" w:styleId="En-tte">
    <w:name w:val="header"/>
    <w:basedOn w:val="Normal"/>
    <w:link w:val="En-tteCar"/>
    <w:unhideWhenUsed/>
    <w:rsid w:val="00485ADC"/>
    <w:pPr>
      <w:tabs>
        <w:tab w:val="center" w:pos="4536"/>
        <w:tab w:val="right" w:pos="9072"/>
      </w:tabs>
      <w:spacing w:after="0" w:line="240" w:lineRule="auto"/>
    </w:pPr>
  </w:style>
  <w:style w:type="character" w:customStyle="1" w:styleId="En-tteCar">
    <w:name w:val="En-tête Car"/>
    <w:basedOn w:val="Policepardfaut"/>
    <w:link w:val="En-tte"/>
    <w:rsid w:val="00485ADC"/>
  </w:style>
  <w:style w:type="paragraph" w:styleId="Pieddepage">
    <w:name w:val="footer"/>
    <w:basedOn w:val="Normal"/>
    <w:link w:val="PieddepageCar"/>
    <w:uiPriority w:val="99"/>
    <w:unhideWhenUsed/>
    <w:rsid w:val="00485A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ADC"/>
  </w:style>
  <w:style w:type="character" w:styleId="Lienhypertexte">
    <w:name w:val="Hyperlink"/>
    <w:basedOn w:val="Policepardfaut"/>
    <w:rsid w:val="00486D6E"/>
    <w:rPr>
      <w:color w:val="0000FF"/>
      <w:u w:val="single"/>
    </w:rPr>
  </w:style>
  <w:style w:type="table" w:styleId="Grilledutableau">
    <w:name w:val="Table Grid"/>
    <w:basedOn w:val="TableauNormal"/>
    <w:uiPriority w:val="39"/>
    <w:rsid w:val="00ED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mt.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 wafy Mohamed</cp:lastModifiedBy>
  <cp:revision>2</cp:revision>
  <cp:lastPrinted>2020-10-22T11:19:00Z</cp:lastPrinted>
  <dcterms:created xsi:type="dcterms:W3CDTF">2020-10-22T17:04:00Z</dcterms:created>
  <dcterms:modified xsi:type="dcterms:W3CDTF">2020-10-22T17:04:00Z</dcterms:modified>
</cp:coreProperties>
</file>